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0D" w:rsidRPr="00B33E0D" w:rsidRDefault="00B33E0D" w:rsidP="00B33E0D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B33E0D" w:rsidRPr="005608C4" w:rsidRDefault="00B33E0D" w:rsidP="005608C4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B33E0D" w:rsidRPr="005608C4" w:rsidRDefault="00B33E0D" w:rsidP="00B33E0D">
      <w:pPr>
        <w:jc w:val="center"/>
        <w:rPr>
          <w:rFonts w:eastAsiaTheme="minorEastAsia"/>
          <w:sz w:val="20"/>
          <w:szCs w:val="20"/>
        </w:rPr>
      </w:pP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СПРАВКА</w:t>
      </w: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о выполнении профилактическ</w:t>
      </w:r>
      <w:r>
        <w:rPr>
          <w:rFonts w:eastAsiaTheme="minorEastAsia"/>
          <w:b/>
          <w:sz w:val="28"/>
          <w:szCs w:val="28"/>
        </w:rPr>
        <w:t>их</w:t>
      </w:r>
      <w:r w:rsidRPr="00B33E0D">
        <w:rPr>
          <w:rFonts w:eastAsiaTheme="minorEastAsia"/>
          <w:b/>
          <w:sz w:val="28"/>
          <w:szCs w:val="28"/>
        </w:rPr>
        <w:t xml:space="preserve"> мероприяти</w:t>
      </w:r>
      <w:r>
        <w:rPr>
          <w:rFonts w:eastAsiaTheme="minorEastAsia"/>
          <w:b/>
          <w:sz w:val="28"/>
          <w:szCs w:val="28"/>
        </w:rPr>
        <w:t>й</w:t>
      </w:r>
    </w:p>
    <w:p w:rsidR="00B33E0D" w:rsidRPr="005608C4" w:rsidRDefault="00B33E0D" w:rsidP="00B33E0D">
      <w:pPr>
        <w:jc w:val="center"/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Сроки</w:t>
      </w:r>
      <w:r w:rsidRPr="00B33E0D">
        <w:rPr>
          <w:rFonts w:eastAsiaTheme="minorEastAsia"/>
          <w:sz w:val="28"/>
          <w:szCs w:val="28"/>
        </w:rPr>
        <w:t xml:space="preserve"> проведения </w:t>
      </w:r>
      <w:r w:rsidR="001B2EA2">
        <w:rPr>
          <w:rFonts w:eastAsiaTheme="minorEastAsia"/>
          <w:sz w:val="28"/>
          <w:szCs w:val="28"/>
          <w:u w:val="single"/>
        </w:rPr>
        <w:t>01.12</w:t>
      </w:r>
      <w:r w:rsidR="00E8039B">
        <w:rPr>
          <w:rFonts w:eastAsiaTheme="minorEastAsia"/>
          <w:sz w:val="28"/>
          <w:szCs w:val="28"/>
          <w:u w:val="single"/>
        </w:rPr>
        <w:t>.2023</w:t>
      </w:r>
      <w:r w:rsidR="00B267DD" w:rsidRPr="00B267DD">
        <w:rPr>
          <w:rFonts w:eastAsiaTheme="minorEastAsia"/>
          <w:sz w:val="28"/>
          <w:szCs w:val="28"/>
          <w:u w:val="single"/>
        </w:rPr>
        <w:t xml:space="preserve"> –</w:t>
      </w:r>
      <w:r w:rsidR="001B2EA2">
        <w:rPr>
          <w:rFonts w:eastAsiaTheme="minorEastAsia"/>
          <w:sz w:val="28"/>
          <w:szCs w:val="28"/>
          <w:u w:val="single"/>
        </w:rPr>
        <w:t xml:space="preserve"> 25.12</w:t>
      </w:r>
      <w:r w:rsidR="00B267DD" w:rsidRPr="00B267DD">
        <w:rPr>
          <w:rFonts w:eastAsiaTheme="minorEastAsia"/>
          <w:sz w:val="28"/>
          <w:szCs w:val="28"/>
          <w:u w:val="single"/>
        </w:rPr>
        <w:t>.202</w:t>
      </w:r>
      <w:r w:rsidR="00E8039B">
        <w:rPr>
          <w:rFonts w:eastAsiaTheme="minorEastAsia"/>
          <w:sz w:val="28"/>
          <w:szCs w:val="28"/>
          <w:u w:val="single"/>
        </w:rPr>
        <w:t>3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jc w:val="both"/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 xml:space="preserve">2. Место проведения </w:t>
      </w:r>
      <w:r w:rsidR="00B267DD">
        <w:rPr>
          <w:rFonts w:eastAsiaTheme="minorEastAsia"/>
          <w:sz w:val="28"/>
          <w:szCs w:val="28"/>
          <w:u w:val="single"/>
        </w:rPr>
        <w:t>ГБПОУ «СПК»</w:t>
      </w:r>
      <w:r w:rsidRPr="00B33E0D">
        <w:rPr>
          <w:rFonts w:eastAsiaTheme="minorEastAsia"/>
          <w:sz w:val="28"/>
          <w:szCs w:val="28"/>
          <w:u w:val="single"/>
        </w:rPr>
        <w:t xml:space="preserve"> </w:t>
      </w:r>
    </w:p>
    <w:p w:rsidR="00B33E0D" w:rsidRPr="005608C4" w:rsidRDefault="00B33E0D" w:rsidP="00B33E0D">
      <w:pPr>
        <w:jc w:val="both"/>
        <w:rPr>
          <w:rFonts w:eastAsiaTheme="minorEastAsia"/>
        </w:rPr>
      </w:pPr>
    </w:p>
    <w:p w:rsidR="00B33E0D" w:rsidRPr="00B33E0D" w:rsidRDefault="00B33E0D" w:rsidP="00156AC4">
      <w:pPr>
        <w:jc w:val="both"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3. Исполнитель/классный руководитель</w:t>
      </w:r>
      <w:r w:rsidR="00156AC4">
        <w:rPr>
          <w:sz w:val="28"/>
          <w:szCs w:val="28"/>
        </w:rPr>
        <w:t xml:space="preserve"> </w:t>
      </w:r>
      <w:r w:rsidR="00661E83">
        <w:rPr>
          <w:sz w:val="28"/>
          <w:szCs w:val="28"/>
          <w:u w:val="single"/>
        </w:rPr>
        <w:t>волонтеры-медики СМГК</w:t>
      </w:r>
      <w:r w:rsidR="00661E83">
        <w:rPr>
          <w:rFonts w:eastAsiaTheme="minorEastAsia"/>
          <w:sz w:val="28"/>
          <w:szCs w:val="28"/>
          <w:u w:val="single"/>
        </w:rPr>
        <w:t>, классны</w:t>
      </w:r>
      <w:r w:rsidR="00156AC4">
        <w:rPr>
          <w:rFonts w:eastAsiaTheme="minorEastAsia"/>
          <w:sz w:val="28"/>
          <w:szCs w:val="28"/>
          <w:u w:val="single"/>
        </w:rPr>
        <w:t>е</w:t>
      </w:r>
      <w:r w:rsidR="00661E83">
        <w:rPr>
          <w:rFonts w:eastAsiaTheme="minorEastAsia"/>
          <w:sz w:val="28"/>
          <w:szCs w:val="28"/>
          <w:u w:val="single"/>
        </w:rPr>
        <w:t xml:space="preserve"> руководител</w:t>
      </w:r>
      <w:r w:rsidR="00156AC4">
        <w:rPr>
          <w:rFonts w:eastAsiaTheme="minorEastAsia"/>
          <w:sz w:val="28"/>
          <w:szCs w:val="28"/>
          <w:u w:val="single"/>
        </w:rPr>
        <w:t xml:space="preserve">и: </w:t>
      </w:r>
      <w:r w:rsidR="00B73F2F">
        <w:rPr>
          <w:rFonts w:eastAsiaTheme="minorEastAsia"/>
          <w:sz w:val="28"/>
          <w:szCs w:val="28"/>
          <w:u w:val="single"/>
        </w:rPr>
        <w:t xml:space="preserve">Алексеева Е.В.,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Андриянова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О.С.,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Барашкова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Т.А.,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Долбина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О.С., Дронова С.В., </w:t>
      </w:r>
      <w:r w:rsidR="00B73F2F">
        <w:rPr>
          <w:rFonts w:eastAsiaTheme="minorEastAsia"/>
          <w:sz w:val="28"/>
          <w:szCs w:val="28"/>
          <w:u w:val="single"/>
        </w:rPr>
        <w:t xml:space="preserve">Ермохина К.А.,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Загудаев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С.В.,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Жужукина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Л.Н., 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Нигматзянов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О.Г.,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Разиева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Т.С., Родионова О.П.,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Салитова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Е.В.,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Стогина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С.В., Трифонова А.В.,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Шкунов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Р.Н.,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Щеулова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В.А.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B33E0D" w:rsidRPr="005608C4" w:rsidRDefault="00B33E0D" w:rsidP="00B33E0D">
      <w:pPr>
        <w:rPr>
          <w:rFonts w:eastAsiaTheme="minorEastAsi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985"/>
      </w:tblGrid>
      <w:tr w:rsidR="00B33E0D" w:rsidRPr="00B33E0D" w:rsidTr="00837AD4">
        <w:tc>
          <w:tcPr>
            <w:tcW w:w="30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5103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19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1B2EA2" w:rsidRPr="00B33E0D" w:rsidTr="00837AD4">
        <w:tc>
          <w:tcPr>
            <w:tcW w:w="3085" w:type="dxa"/>
            <w:vMerge w:val="restart"/>
          </w:tcPr>
          <w:p w:rsidR="001B2EA2" w:rsidRPr="00B33E0D" w:rsidRDefault="001B2EA2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Для студентов </w:t>
            </w:r>
            <w:proofErr w:type="spellStart"/>
            <w:r w:rsidRPr="00B33E0D">
              <w:rPr>
                <w:rFonts w:eastAsiaTheme="minorEastAsia"/>
                <w:sz w:val="28"/>
                <w:szCs w:val="28"/>
              </w:rPr>
              <w:t>ССУЗов</w:t>
            </w:r>
            <w:proofErr w:type="spellEnd"/>
          </w:p>
        </w:tc>
        <w:tc>
          <w:tcPr>
            <w:tcW w:w="5103" w:type="dxa"/>
          </w:tcPr>
          <w:p w:rsidR="001B2EA2" w:rsidRPr="003217FB" w:rsidRDefault="001B2EA2" w:rsidP="001B2EA2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«Профилактика ВИЧ/</w:t>
            </w:r>
            <w:proofErr w:type="spellStart"/>
            <w:r>
              <w:rPr>
                <w:kern w:val="36"/>
                <w:sz w:val="28"/>
                <w:szCs w:val="28"/>
              </w:rPr>
              <w:t>СПИДа</w:t>
            </w:r>
            <w:proofErr w:type="spellEnd"/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1B2EA2" w:rsidRDefault="00B73F2F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219</w:t>
            </w:r>
          </w:p>
          <w:p w:rsidR="001B2EA2" w:rsidRDefault="001B2EA2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2302 ЭР-1,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2307 МН-1,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2308 МН-1,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2315 МА-1,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2316 МА-1,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2317 ТО-1</w:t>
            </w:r>
            <w:r w:rsidR="009538FC">
              <w:rPr>
                <w:rFonts w:eastAsiaTheme="minorEastAsia"/>
                <w:sz w:val="28"/>
                <w:szCs w:val="28"/>
              </w:rPr>
              <w:t>,</w:t>
            </w:r>
          </w:p>
          <w:p w:rsidR="009538FC" w:rsidRDefault="009538FC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2319 ПБ-1(к),</w:t>
            </w:r>
          </w:p>
          <w:p w:rsidR="009538FC" w:rsidRDefault="009538FC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2320 ПБ-1(к),</w:t>
            </w:r>
          </w:p>
          <w:p w:rsidR="009538FC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2321 ПД-1(к),</w:t>
            </w:r>
          </w:p>
          <w:p w:rsidR="00B73F2F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2322 ПД-1(к),</w:t>
            </w:r>
          </w:p>
          <w:p w:rsidR="00B73F2F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2323 ПД-1(к),</w:t>
            </w:r>
          </w:p>
          <w:p w:rsidR="00B73F2F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2324 ПК-1(к),</w:t>
            </w:r>
          </w:p>
          <w:p w:rsidR="00B73F2F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2325 ПК-1(к).</w:t>
            </w:r>
          </w:p>
          <w:p w:rsidR="00B73F2F" w:rsidRPr="00B267DD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Pr="00B33E0D" w:rsidRDefault="001B2EA2" w:rsidP="00157015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494952">
              <w:rPr>
                <w:kern w:val="36"/>
                <w:sz w:val="28"/>
                <w:szCs w:val="28"/>
              </w:rPr>
              <w:t xml:space="preserve">Урок ЗОЖ  </w:t>
            </w:r>
            <w:r>
              <w:rPr>
                <w:kern w:val="36"/>
                <w:sz w:val="28"/>
                <w:szCs w:val="28"/>
              </w:rPr>
              <w:t>«</w:t>
            </w:r>
            <w:r w:rsidRPr="00494952">
              <w:rPr>
                <w:kern w:val="36"/>
                <w:sz w:val="28"/>
                <w:szCs w:val="28"/>
              </w:rPr>
              <w:t>Полезные и вредные привычки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1B2EA2" w:rsidRDefault="001B2EA2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Pr="00B33E0D" w:rsidRDefault="001B2EA2" w:rsidP="00157015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Pr="007A6F4A">
              <w:rPr>
                <w:kern w:val="36"/>
                <w:sz w:val="28"/>
                <w:szCs w:val="28"/>
              </w:rPr>
              <w:t xml:space="preserve">Мифы и </w:t>
            </w:r>
            <w:proofErr w:type="gramStart"/>
            <w:r w:rsidRPr="007A6F4A">
              <w:rPr>
                <w:kern w:val="36"/>
                <w:sz w:val="28"/>
                <w:szCs w:val="28"/>
              </w:rPr>
              <w:t>факты о витаминах</w:t>
            </w:r>
            <w:proofErr w:type="gramEnd"/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1B2EA2" w:rsidRPr="00B33E0D" w:rsidRDefault="001B2EA2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Pr="00B33E0D" w:rsidRDefault="001B2EA2" w:rsidP="0052734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0F7038">
              <w:rPr>
                <w:kern w:val="36"/>
                <w:sz w:val="28"/>
                <w:szCs w:val="28"/>
              </w:rPr>
              <w:t>Урок здоровья (</w:t>
            </w:r>
            <w:proofErr w:type="spellStart"/>
            <w:r w:rsidRPr="000F7038">
              <w:rPr>
                <w:kern w:val="36"/>
                <w:sz w:val="28"/>
                <w:szCs w:val="28"/>
              </w:rPr>
              <w:t>видеолекция</w:t>
            </w:r>
            <w:proofErr w:type="spellEnd"/>
            <w:r w:rsidRPr="000F7038">
              <w:rPr>
                <w:kern w:val="36"/>
                <w:sz w:val="28"/>
                <w:szCs w:val="28"/>
              </w:rPr>
              <w:t>) на тему: «Вакцинация: правда и мифы»</w:t>
            </w:r>
          </w:p>
        </w:tc>
        <w:tc>
          <w:tcPr>
            <w:tcW w:w="1985" w:type="dxa"/>
            <w:vMerge/>
          </w:tcPr>
          <w:p w:rsidR="001B2EA2" w:rsidRPr="00B33E0D" w:rsidRDefault="001B2EA2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Default="001B2EA2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«Профилактика ВИЧ/</w:t>
            </w:r>
            <w:proofErr w:type="spellStart"/>
            <w:r>
              <w:rPr>
                <w:kern w:val="36"/>
                <w:sz w:val="28"/>
                <w:szCs w:val="28"/>
              </w:rPr>
              <w:t>СПИДа</w:t>
            </w:r>
            <w:proofErr w:type="spellEnd"/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1B2EA2" w:rsidRDefault="00B73F2F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187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МА-2,</w:t>
            </w:r>
          </w:p>
          <w:p w:rsidR="001B2EA2" w:rsidRDefault="001B2EA2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ТО-2</w:t>
            </w:r>
            <w:r w:rsidR="00B73F2F">
              <w:rPr>
                <w:rFonts w:eastAsiaTheme="minorEastAsia"/>
                <w:sz w:val="28"/>
                <w:szCs w:val="28"/>
              </w:rPr>
              <w:t>,</w:t>
            </w:r>
          </w:p>
          <w:p w:rsidR="00B73F2F" w:rsidRDefault="00B73F2F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2220 ПБ-2(к),</w:t>
            </w:r>
          </w:p>
          <w:p w:rsidR="00B73F2F" w:rsidRDefault="00B73F2F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2223 ПД-2(к)</w:t>
            </w: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Default="001B2EA2" w:rsidP="001B2EA2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А</w:t>
            </w:r>
            <w:r w:rsidRPr="00BC6316">
              <w:rPr>
                <w:kern w:val="36"/>
                <w:sz w:val="28"/>
                <w:szCs w:val="28"/>
              </w:rPr>
              <w:t>лгоритм</w:t>
            </w:r>
            <w:r>
              <w:rPr>
                <w:kern w:val="36"/>
                <w:sz w:val="28"/>
                <w:szCs w:val="28"/>
              </w:rPr>
              <w:t>а «Г</w:t>
            </w:r>
            <w:r w:rsidRPr="00BC6316">
              <w:rPr>
                <w:kern w:val="36"/>
                <w:sz w:val="28"/>
                <w:szCs w:val="28"/>
              </w:rPr>
              <w:t>игиеническая обработка рук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1B2EA2" w:rsidRDefault="001B2EA2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Default="001B2EA2" w:rsidP="001B2EA2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презентации</w:t>
            </w:r>
            <w:r w:rsidRPr="003469FE">
              <w:rPr>
                <w:kern w:val="36"/>
                <w:sz w:val="28"/>
                <w:szCs w:val="28"/>
              </w:rPr>
              <w:t xml:space="preserve"> </w:t>
            </w:r>
            <w:r>
              <w:rPr>
                <w:kern w:val="36"/>
                <w:sz w:val="28"/>
                <w:szCs w:val="28"/>
              </w:rPr>
              <w:t xml:space="preserve"> </w:t>
            </w:r>
            <w:r w:rsidRPr="003469FE">
              <w:rPr>
                <w:kern w:val="36"/>
                <w:sz w:val="28"/>
                <w:szCs w:val="28"/>
              </w:rPr>
              <w:t>«О мнимой пользе и реальном вреде пива»</w:t>
            </w:r>
          </w:p>
        </w:tc>
        <w:tc>
          <w:tcPr>
            <w:tcW w:w="1985" w:type="dxa"/>
            <w:vMerge/>
          </w:tcPr>
          <w:p w:rsidR="001B2EA2" w:rsidRDefault="001B2EA2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Default="001B2EA2" w:rsidP="001B2EA2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цикла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видеолекций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Pr="00194BE4">
              <w:rPr>
                <w:kern w:val="36"/>
                <w:sz w:val="28"/>
                <w:szCs w:val="28"/>
              </w:rPr>
              <w:t>Оказание первой помощи при угрожающих жизни состояниях</w:t>
            </w:r>
            <w:r>
              <w:rPr>
                <w:kern w:val="36"/>
                <w:sz w:val="28"/>
                <w:szCs w:val="28"/>
              </w:rPr>
              <w:t>».</w:t>
            </w:r>
          </w:p>
          <w:p w:rsidR="001B2EA2" w:rsidRDefault="001B2EA2" w:rsidP="001B2EA2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Алгоритм «Оказание первой помощи </w:t>
            </w:r>
            <w:proofErr w:type="gramStart"/>
            <w:r>
              <w:rPr>
                <w:kern w:val="36"/>
                <w:sz w:val="28"/>
                <w:szCs w:val="28"/>
              </w:rPr>
              <w:t>по</w:t>
            </w:r>
            <w:proofErr w:type="gramEnd"/>
            <w:r>
              <w:rPr>
                <w:kern w:val="36"/>
                <w:sz w:val="28"/>
                <w:szCs w:val="28"/>
              </w:rPr>
              <w:t xml:space="preserve"> обмороке»</w:t>
            </w:r>
          </w:p>
        </w:tc>
        <w:tc>
          <w:tcPr>
            <w:tcW w:w="1985" w:type="dxa"/>
            <w:vMerge/>
          </w:tcPr>
          <w:p w:rsidR="001B2EA2" w:rsidRDefault="001B2EA2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9538FC" w:rsidRPr="00B33E0D" w:rsidTr="00837AD4">
        <w:tc>
          <w:tcPr>
            <w:tcW w:w="3085" w:type="dxa"/>
          </w:tcPr>
          <w:p w:rsidR="009538FC" w:rsidRPr="00B33E0D" w:rsidRDefault="009538FC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9538FC" w:rsidRDefault="009538FC" w:rsidP="00157015">
            <w:pPr>
              <w:shd w:val="clear" w:color="auto" w:fill="FFFFFF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Выполнение заданий к</w:t>
            </w:r>
            <w:r w:rsidRPr="007C5630">
              <w:rPr>
                <w:kern w:val="36"/>
                <w:sz w:val="28"/>
                <w:szCs w:val="28"/>
              </w:rPr>
              <w:t>урс</w:t>
            </w:r>
            <w:r>
              <w:rPr>
                <w:kern w:val="36"/>
                <w:sz w:val="28"/>
                <w:szCs w:val="28"/>
              </w:rPr>
              <w:t>а</w:t>
            </w:r>
            <w:r w:rsidRPr="007C5630">
              <w:rPr>
                <w:kern w:val="36"/>
                <w:sz w:val="28"/>
                <w:szCs w:val="28"/>
              </w:rPr>
              <w:t xml:space="preserve"> «Эффективные коммуникации»</w:t>
            </w:r>
          </w:p>
        </w:tc>
        <w:tc>
          <w:tcPr>
            <w:tcW w:w="1985" w:type="dxa"/>
            <w:vMerge w:val="restart"/>
          </w:tcPr>
          <w:p w:rsidR="009538FC" w:rsidRDefault="00B73F2F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141</w:t>
            </w:r>
          </w:p>
          <w:p w:rsidR="009538FC" w:rsidRDefault="009538FC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ЭР-3,</w:t>
            </w:r>
          </w:p>
          <w:p w:rsidR="009538FC" w:rsidRPr="00B267DD" w:rsidRDefault="009538FC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2108 МН-3,</w:t>
            </w:r>
          </w:p>
          <w:p w:rsidR="009538FC" w:rsidRDefault="009538FC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2109</w:t>
            </w:r>
            <w:r>
              <w:rPr>
                <w:rFonts w:eastAsiaTheme="minorEastAsia"/>
                <w:sz w:val="28"/>
                <w:szCs w:val="28"/>
              </w:rPr>
              <w:t xml:space="preserve"> МН-3,</w:t>
            </w:r>
          </w:p>
          <w:p w:rsidR="009538FC" w:rsidRDefault="009538FC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2112 ТМ-3,</w:t>
            </w:r>
          </w:p>
          <w:p w:rsidR="009538FC" w:rsidRPr="00B267DD" w:rsidRDefault="009538FC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2117</w:t>
            </w:r>
            <w:r>
              <w:rPr>
                <w:rFonts w:eastAsiaTheme="minorEastAsia"/>
                <w:sz w:val="28"/>
                <w:szCs w:val="28"/>
              </w:rPr>
              <w:t xml:space="preserve"> МА-3,</w:t>
            </w:r>
          </w:p>
          <w:p w:rsidR="009538FC" w:rsidRPr="00B267DD" w:rsidRDefault="009538FC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2118</w:t>
            </w:r>
            <w:r>
              <w:rPr>
                <w:rFonts w:eastAsiaTheme="minorEastAsia"/>
                <w:sz w:val="28"/>
                <w:szCs w:val="28"/>
              </w:rPr>
              <w:t xml:space="preserve"> МА-3,</w:t>
            </w:r>
          </w:p>
          <w:p w:rsidR="009538FC" w:rsidRDefault="009538FC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2119</w:t>
            </w:r>
            <w:r>
              <w:rPr>
                <w:rFonts w:eastAsiaTheme="minorEastAsia"/>
                <w:sz w:val="28"/>
                <w:szCs w:val="28"/>
              </w:rPr>
              <w:t xml:space="preserve"> ТО-3.</w:t>
            </w:r>
          </w:p>
        </w:tc>
      </w:tr>
      <w:tr w:rsidR="009538FC" w:rsidRPr="00B33E0D" w:rsidTr="00837AD4">
        <w:tc>
          <w:tcPr>
            <w:tcW w:w="3085" w:type="dxa"/>
          </w:tcPr>
          <w:p w:rsidR="009538FC" w:rsidRPr="00B33E0D" w:rsidRDefault="009538FC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9538FC" w:rsidRDefault="009538FC" w:rsidP="00157015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презентации «П</w:t>
            </w:r>
            <w:r w:rsidRPr="00DF4E71">
              <w:rPr>
                <w:kern w:val="36"/>
                <w:sz w:val="28"/>
                <w:szCs w:val="28"/>
              </w:rPr>
              <w:t>оследствия стресса и  психологическая помощь при них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9538FC" w:rsidRDefault="009538FC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9538FC" w:rsidRPr="00B33E0D" w:rsidTr="00837AD4">
        <w:tc>
          <w:tcPr>
            <w:tcW w:w="3085" w:type="dxa"/>
          </w:tcPr>
          <w:p w:rsidR="009538FC" w:rsidRPr="00B33E0D" w:rsidRDefault="009538FC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9538FC" w:rsidRDefault="009538FC" w:rsidP="00157015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r w:rsidRPr="008E3C39">
              <w:rPr>
                <w:kern w:val="36"/>
                <w:sz w:val="28"/>
                <w:szCs w:val="28"/>
              </w:rPr>
              <w:t>видеоролик</w:t>
            </w:r>
            <w:r>
              <w:rPr>
                <w:kern w:val="36"/>
                <w:sz w:val="28"/>
                <w:szCs w:val="28"/>
              </w:rPr>
              <w:t>а</w:t>
            </w:r>
            <w:r w:rsidRPr="008E3C39">
              <w:rPr>
                <w:kern w:val="36"/>
                <w:sz w:val="28"/>
                <w:szCs w:val="28"/>
              </w:rPr>
              <w:t xml:space="preserve"> «Йога для снятия стресса»</w:t>
            </w:r>
          </w:p>
        </w:tc>
        <w:tc>
          <w:tcPr>
            <w:tcW w:w="1985" w:type="dxa"/>
            <w:vMerge/>
          </w:tcPr>
          <w:p w:rsidR="009538FC" w:rsidRDefault="009538FC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5. Подпись принимающей стороны</w:t>
      </w:r>
      <w:r w:rsidR="00885B13">
        <w:rPr>
          <w:rFonts w:eastAsiaTheme="minorEastAsia"/>
          <w:sz w:val="28"/>
          <w:szCs w:val="28"/>
        </w:rPr>
        <w:t xml:space="preserve"> </w:t>
      </w:r>
      <w:r w:rsidRPr="00B33E0D">
        <w:rPr>
          <w:rFonts w:eastAsiaTheme="minorEastAsia"/>
          <w:sz w:val="28"/>
          <w:szCs w:val="28"/>
        </w:rPr>
        <w:t xml:space="preserve"> </w:t>
      </w:r>
      <w:proofErr w:type="spellStart"/>
      <w:r w:rsidR="00885B13">
        <w:rPr>
          <w:rFonts w:eastAsiaTheme="minorEastAsia"/>
          <w:sz w:val="28"/>
          <w:szCs w:val="28"/>
          <w:u w:val="single"/>
        </w:rPr>
        <w:t>Антоненко</w:t>
      </w:r>
      <w:proofErr w:type="spellEnd"/>
      <w:r w:rsidR="00885B13">
        <w:rPr>
          <w:rFonts w:eastAsiaTheme="minorEastAsia"/>
          <w:sz w:val="28"/>
          <w:szCs w:val="28"/>
          <w:u w:val="single"/>
        </w:rPr>
        <w:t xml:space="preserve"> Ирина Владимировна, методист</w:t>
      </w: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="00885B13">
        <w:rPr>
          <w:rFonts w:eastAsiaTheme="minorEastAsia"/>
          <w:sz w:val="28"/>
          <w:szCs w:val="28"/>
        </w:rPr>
        <w:t xml:space="preserve">       </w:t>
      </w:r>
      <w:r w:rsidRPr="00B33E0D">
        <w:rPr>
          <w:rFonts w:eastAsiaTheme="minorEastAsia"/>
          <w:sz w:val="28"/>
          <w:szCs w:val="28"/>
        </w:rPr>
        <w:t>Фамилия, имя, отчество, должность</w:t>
      </w:r>
    </w:p>
    <w:p w:rsidR="00B33E0D" w:rsidRPr="00886DB8" w:rsidRDefault="00B33E0D" w:rsidP="00B33E0D">
      <w:pPr>
        <w:contextualSpacing/>
        <w:rPr>
          <w:rFonts w:eastAsiaTheme="minorEastAsia"/>
          <w:sz w:val="20"/>
          <w:szCs w:val="20"/>
        </w:rPr>
      </w:pPr>
    </w:p>
    <w:p w:rsidR="00661E83" w:rsidRPr="00B33E0D" w:rsidRDefault="00661E83" w:rsidP="00B33E0D">
      <w:pPr>
        <w:contextualSpacing/>
        <w:rPr>
          <w:rFonts w:eastAsiaTheme="minorEastAsia"/>
          <w:sz w:val="28"/>
          <w:szCs w:val="28"/>
        </w:rPr>
      </w:pPr>
    </w:p>
    <w:p w:rsidR="00661E83" w:rsidRDefault="00661E83" w:rsidP="00661E83">
      <w:pPr>
        <w:contextualSpacing/>
      </w:pPr>
      <w:r>
        <w:t>6. Подпись исполнителя ____</w:t>
      </w:r>
      <w:r w:rsidR="00EA3BFC">
        <w:rPr>
          <w:u w:val="single"/>
        </w:rPr>
        <w:t xml:space="preserve"> волонтеры </w:t>
      </w:r>
      <w:proofErr w:type="gramStart"/>
      <w:r w:rsidR="00EA3BFC">
        <w:rPr>
          <w:u w:val="single"/>
        </w:rPr>
        <w:t>-м</w:t>
      </w:r>
      <w:proofErr w:type="gramEnd"/>
      <w:r w:rsidR="00EA3BFC">
        <w:rPr>
          <w:u w:val="single"/>
        </w:rPr>
        <w:t>едики ГБПОУ «СМГК»</w:t>
      </w:r>
      <w:r>
        <w:t>__________</w:t>
      </w:r>
    </w:p>
    <w:p w:rsidR="00661E83" w:rsidRDefault="00661E83" w:rsidP="00661E83">
      <w:pPr>
        <w:ind w:left="3540" w:firstLine="708"/>
        <w:contextualSpacing/>
      </w:pPr>
      <w:r>
        <w:t>Фамилия, имя, отчество</w:t>
      </w:r>
    </w:p>
    <w:sectPr w:rsidR="00661E83" w:rsidSect="00C87B31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A48" w:rsidRDefault="00507A48" w:rsidP="009C0D82">
      <w:r>
        <w:separator/>
      </w:r>
    </w:p>
  </w:endnote>
  <w:endnote w:type="continuationSeparator" w:id="0">
    <w:p w:rsidR="00507A48" w:rsidRDefault="00507A48" w:rsidP="009C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A48" w:rsidRDefault="00507A48" w:rsidP="009C0D82">
      <w:r>
        <w:separator/>
      </w:r>
    </w:p>
  </w:footnote>
  <w:footnote w:type="continuationSeparator" w:id="0">
    <w:p w:rsidR="00507A48" w:rsidRDefault="00507A48" w:rsidP="009C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95099"/>
    </w:sdtPr>
    <w:sdtContent>
      <w:p w:rsidR="00001A84" w:rsidRDefault="009B7BA4">
        <w:pPr>
          <w:pStyle w:val="a4"/>
          <w:jc w:val="center"/>
        </w:pPr>
        <w:r>
          <w:fldChar w:fldCharType="begin"/>
        </w:r>
        <w:r w:rsidR="00481D4C">
          <w:instrText>PAGE   \* MERGEFORMAT</w:instrText>
        </w:r>
        <w:r>
          <w:fldChar w:fldCharType="separate"/>
        </w:r>
        <w:r w:rsidR="00B73F2F">
          <w:rPr>
            <w:noProof/>
          </w:rPr>
          <w:t>2</w:t>
        </w:r>
        <w:r>
          <w:fldChar w:fldCharType="end"/>
        </w:r>
      </w:p>
    </w:sdtContent>
  </w:sdt>
  <w:p w:rsidR="00001A84" w:rsidRPr="00767CEB" w:rsidRDefault="00507A48">
    <w:pPr>
      <w:pStyle w:val="a4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6A0C"/>
    <w:multiLevelType w:val="hybridMultilevel"/>
    <w:tmpl w:val="6D72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B23FB"/>
    <w:multiLevelType w:val="hybridMultilevel"/>
    <w:tmpl w:val="21342F4A"/>
    <w:lvl w:ilvl="0" w:tplc="0419000F">
      <w:start w:val="1"/>
      <w:numFmt w:val="decimal"/>
      <w:lvlText w:val="%1."/>
      <w:lvlJc w:val="left"/>
      <w:pPr>
        <w:ind w:left="2496" w:hanging="360"/>
      </w:p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">
    <w:nsid w:val="54AA44FC"/>
    <w:multiLevelType w:val="hybridMultilevel"/>
    <w:tmpl w:val="DC3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1A1"/>
    <w:rsid w:val="00011CA8"/>
    <w:rsid w:val="000648A9"/>
    <w:rsid w:val="000B6251"/>
    <w:rsid w:val="0011650B"/>
    <w:rsid w:val="00127B03"/>
    <w:rsid w:val="00156AC4"/>
    <w:rsid w:val="001B2EA2"/>
    <w:rsid w:val="00216A96"/>
    <w:rsid w:val="00220A32"/>
    <w:rsid w:val="00243751"/>
    <w:rsid w:val="002F17FA"/>
    <w:rsid w:val="003217FB"/>
    <w:rsid w:val="003C0EF2"/>
    <w:rsid w:val="00415BEB"/>
    <w:rsid w:val="00443D18"/>
    <w:rsid w:val="00476FE2"/>
    <w:rsid w:val="00481D4C"/>
    <w:rsid w:val="00507A48"/>
    <w:rsid w:val="00527341"/>
    <w:rsid w:val="00531199"/>
    <w:rsid w:val="00553CC9"/>
    <w:rsid w:val="005608C4"/>
    <w:rsid w:val="005868FC"/>
    <w:rsid w:val="00661E83"/>
    <w:rsid w:val="00673BCB"/>
    <w:rsid w:val="006F0A7B"/>
    <w:rsid w:val="00740746"/>
    <w:rsid w:val="007B7EC8"/>
    <w:rsid w:val="00837AD4"/>
    <w:rsid w:val="00885B13"/>
    <w:rsid w:val="00886DB8"/>
    <w:rsid w:val="009538FC"/>
    <w:rsid w:val="009563E6"/>
    <w:rsid w:val="00972EFA"/>
    <w:rsid w:val="00982C43"/>
    <w:rsid w:val="009B7BA4"/>
    <w:rsid w:val="009C0D82"/>
    <w:rsid w:val="009D21A1"/>
    <w:rsid w:val="009D2F7E"/>
    <w:rsid w:val="009E058C"/>
    <w:rsid w:val="00A53E55"/>
    <w:rsid w:val="00A971BA"/>
    <w:rsid w:val="00AD7CAB"/>
    <w:rsid w:val="00B1374F"/>
    <w:rsid w:val="00B267DD"/>
    <w:rsid w:val="00B33E0D"/>
    <w:rsid w:val="00B73F2F"/>
    <w:rsid w:val="00BE1ABC"/>
    <w:rsid w:val="00BF2E6A"/>
    <w:rsid w:val="00C3603C"/>
    <w:rsid w:val="00C722FA"/>
    <w:rsid w:val="00C80277"/>
    <w:rsid w:val="00C87B31"/>
    <w:rsid w:val="00C97845"/>
    <w:rsid w:val="00CC24A9"/>
    <w:rsid w:val="00CD4B21"/>
    <w:rsid w:val="00CF1C92"/>
    <w:rsid w:val="00D45A78"/>
    <w:rsid w:val="00D6072F"/>
    <w:rsid w:val="00D624E5"/>
    <w:rsid w:val="00DC63E1"/>
    <w:rsid w:val="00E169F2"/>
    <w:rsid w:val="00E33604"/>
    <w:rsid w:val="00E8039B"/>
    <w:rsid w:val="00EA3BFC"/>
    <w:rsid w:val="00ED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81D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2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1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21A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43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D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81D4C"/>
  </w:style>
  <w:style w:type="character" w:styleId="aa">
    <w:name w:val="FollowedHyperlink"/>
    <w:basedOn w:val="a0"/>
    <w:uiPriority w:val="99"/>
    <w:semiHidden/>
    <w:unhideWhenUsed/>
    <w:rsid w:val="00481D4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1199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unhideWhenUsed/>
    <w:rsid w:val="0053119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8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19992-9787-4C8B-B1CB-C7158B1C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СМГК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Баринова</dc:creator>
  <cp:lastModifiedBy>User</cp:lastModifiedBy>
  <cp:revision>11</cp:revision>
  <dcterms:created xsi:type="dcterms:W3CDTF">2022-10-21T10:34:00Z</dcterms:created>
  <dcterms:modified xsi:type="dcterms:W3CDTF">2023-12-26T08:56:00Z</dcterms:modified>
</cp:coreProperties>
</file>